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3"/>
        <w:tblW w:w="11441" w:type="dxa"/>
        <w:jc w:val="left"/>
        <w:tblInd w:w="-1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312"/>
        <w:gridCol w:w="3069"/>
        <w:gridCol w:w="1934"/>
        <w:gridCol w:w="1194"/>
      </w:tblGrid>
      <w:tr>
        <w:trPr>
          <w:trHeight w:val="600" w:hRule="atLeast"/>
        </w:trPr>
        <w:tc>
          <w:tcPr>
            <w:tcW w:w="114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ΑΙΤΗΜΑΤΑ ΕΠΙΧΟΡΗΓΗΣΗΣ  Ή/ΚΑΙ ΠΑΡΟΧΗΣ ΑΙΓΙΔΑΣ ΘΕΑΤΡΙΚΩΝ ΕΚΔΗΛΩΣΕΩΝ  ΕΤΟΥΣ 2025,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ΘΕΑΤΡΙΚΩΝ ΠΑΡΑΓΩΓΩΝ 2025 - 2026,  ΘΕΑΤΡΙΚΩΝ ΦΕΣΤΙΒΑΛ ΕΤΟΥΣ 2025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ΚΑΙ ΘΕΑΤΡΙΚΩΝ ΠΕΡΙΟΔΕΙΩΝ ΕΤΟΥΣ 2025</w:t>
            </w:r>
          </w:p>
        </w:tc>
      </w:tr>
      <w:tr>
        <w:trPr>
          <w:trHeight w:val="620" w:hRule="atLeast"/>
        </w:trPr>
        <w:tc>
          <w:tcPr>
            <w:tcW w:w="11441" w:type="dxa"/>
            <w:gridSpan w:val="5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14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Α. ΘΕΑΤΡΙΚΕΣ ΕΚΔΗΛΩΣΕΙΣ ΕΤΟΥΣ 2025</w:t>
            </w:r>
          </w:p>
        </w:tc>
      </w:tr>
      <w:tr>
        <w:trPr>
          <w:trHeight w:val="300" w:hRule="atLeast"/>
        </w:trPr>
        <w:tc>
          <w:tcPr>
            <w:tcW w:w="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A/A</w:t>
            </w:r>
          </w:p>
        </w:tc>
        <w:tc>
          <w:tcPr>
            <w:tcW w:w="4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ΤΙΤΛΟΣ</w:t>
              <w:br/>
              <w:t>ΠΡΟΤΑΣΗΣ</w:t>
            </w:r>
          </w:p>
        </w:tc>
        <w:tc>
          <w:tcPr>
            <w:tcW w:w="3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ΕΠΩΝΥΜΙΑ</w:t>
              <w:br/>
              <w:t>ΦΟΡΕΑ</w:t>
            </w: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ΠΟΣΟ</w:t>
              <w:br/>
              <w:t>ΕΠΙΧΟΡΗΓΗΣΗΣ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ΑΙΓΙΔΑ</w:t>
            </w:r>
          </w:p>
        </w:tc>
      </w:tr>
      <w:tr>
        <w:trPr>
          <w:trHeight w:val="300" w:hRule="atLeast"/>
        </w:trPr>
        <w:tc>
          <w:tcPr>
            <w:tcW w:w="9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43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30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19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11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MEETING EVENT 2025 του Διεθνούς Δικτύου Θεάτρου Ντοκιμαντέρ (ΔΔΘΝ)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plays2place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Γράφουμε για τη σκηνή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Ανθρωπος στη Θάλασσα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ΟΜΑΔΑ ΑΝΘΡΩΠΟΣ ΣΤΗ ΘΑΛΑΣΣΑ)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Θεατρικό συμπόσιο "Συναντώντας τον Γιέρζυ Γκροτόφσκι και το έργο του"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ΟΜΜΑ ΣΤΟΥΝΤΙΟ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14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</w:tc>
      </w:tr>
      <w:tr>
        <w:trPr>
          <w:trHeight w:val="300" w:hRule="atLeast"/>
        </w:trPr>
        <w:tc>
          <w:tcPr>
            <w:tcW w:w="1144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ΘΕΑΤΡΙΚΕΣ ΕΚΔΗΛΩΣΕΙΣ ΕΤΟΥΣ 2025 / ΣΥΝΟΛΙΚΟ ΠΟΣΟ ΕΠΙΧΟΡΗΓΗΣΗΣ :  € 35.000,00</w:t>
            </w:r>
          </w:p>
        </w:tc>
      </w:tr>
      <w:tr>
        <w:trPr>
          <w:trHeight w:val="300" w:hRule="atLeast"/>
        </w:trPr>
        <w:tc>
          <w:tcPr>
            <w:tcW w:w="11441" w:type="dxa"/>
            <w:gridSpan w:val="5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tbl>
      <w:tblPr>
        <w:tblStyle w:val="3"/>
        <w:tblW w:w="11594" w:type="dxa"/>
        <w:jc w:val="left"/>
        <w:tblInd w:w="-14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311"/>
        <w:gridCol w:w="3068"/>
        <w:gridCol w:w="1935"/>
        <w:gridCol w:w="1194"/>
      </w:tblGrid>
      <w:tr>
        <w:trPr>
          <w:trHeight w:val="1140" w:hRule="atLeast"/>
        </w:trPr>
        <w:tc>
          <w:tcPr>
            <w:tcW w:w="115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ΑΙΤΗΜΑΤΑ ΕΠΙΧΟΡΗΓΗΣΗΣ Ή/ΚΑΙ ΠΑΡΟΧΗΣ ΑΙΓΙΔΑΣ ΘΕΑΤΡΙΚΩΝ ΕΚΔΗΛΩΣΕΩΝ  ΕΤΟΥΣ 2025,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ΘΕΑΤΡΙΚΩΝ ΠΑΡΑΓΩΓΩΝ 2025 - 2026,  ΘΕΑΤΡΙΚΩΝ ΦΕΣΤΙΒΑΛ ΕΤΟΥΣ 2025</w:t>
              <w:br/>
              <w:t>ΚΑΙ ΘΕΑΤΡΙΚΩΝ ΠΕΡΙΟΔΕΙΩΝ ΕΤΟΥΣ 2025</w:t>
            </w:r>
          </w:p>
        </w:tc>
      </w:tr>
      <w:tr>
        <w:trPr>
          <w:trHeight w:val="300" w:hRule="atLeast"/>
        </w:trPr>
        <w:tc>
          <w:tcPr>
            <w:tcW w:w="115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 ΘΕΑΤΡΙΚΕΣ ΠΑΡΑΓΩΓΕΣ 2025 - 2026</w:t>
            </w:r>
          </w:p>
        </w:tc>
      </w:tr>
      <w:tr>
        <w:trPr>
          <w:trHeight w:val="300" w:hRule="atLeast"/>
        </w:trPr>
        <w:tc>
          <w:tcPr>
            <w:tcW w:w="1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A/A</w:t>
            </w:r>
          </w:p>
        </w:tc>
        <w:tc>
          <w:tcPr>
            <w:tcW w:w="4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ΤΙΤΛΟΣ</w:t>
              <w:br/>
              <w:t>ΠΡΟΤΑΣΗΣ</w:t>
            </w:r>
          </w:p>
        </w:tc>
        <w:tc>
          <w:tcPr>
            <w:tcW w:w="3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ΕΠΩΝΥΜΙΑ</w:t>
              <w:br/>
              <w:t>ΦΟΡΕΑ</w:t>
            </w:r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ΠΟΣΟ</w:t>
              <w:br/>
              <w:t>ΕΠΙΧΟΡΗΓΗΣΗΣ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ΑΙΓΙΔΑ</w:t>
            </w:r>
          </w:p>
        </w:tc>
      </w:tr>
      <w:tr>
        <w:trPr>
          <w:trHeight w:val="300" w:hRule="atLeast"/>
        </w:trPr>
        <w:tc>
          <w:tcPr>
            <w:tcW w:w="10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43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30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19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11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 - στερητικό (προσωρινός τίτλος)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ΟΜΑΔΑ ΘΕΑΤΡΟΥ ΣΙ ΦΟΡ ΣΕΡΚΟΥΣ – ΑΣΤΙΚΗ ΜΗ ΚΕΡΔΟΣΚΟΠΙΚΗ ΕΤΑΙΡΙΑ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C FOR CIRCUS)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¨Ένα κουκλόσπιτο του Χένρικ Ίψεν¨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LOXODOX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Killing Godot” του Nikolas Kazan σε σκηνοθεσία Νίκου Καμτσή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ΚΕΝΤΡΟ ΣΠΟΥΔΩΝ ΛΑΪΚΟΥ ΘΕΑΤΡΟΥ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«Be Nora – Be Strong»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"TheArtes" -Αστική Μη Κερδοσκοπική Εταιρεία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«Αντιγόνη» του Σοφοκλή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"Ηθικόν Ακμαιότατον"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«Η Λάουρα ήταν εδώ» Ένα road movie της γειτονιάς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ΣΥΝΤΕΧΝΙΑ ΤΟΥ ΓΕΛΙΟΥ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«Θέατρο Playback: Μια πνοή για την Τρίτη Ηλικία»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ARS MOMENTUM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ΑRS MOMENTUM AMKE)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«ΣΥΝΟΡΑ» του Χένρι Νέιλορ </w:t>
              <w:br/>
              <w:t xml:space="preserve"> (BORDERS” by Henry Naylor 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"Μνήμη" Εταιρεία Θεάτρου, αστική εταιρεία μη κερδοσκοπική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 Διαμάντια και Μπλούζ " της Λούλας Αναγνωστάκη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ΤΕΧΝΗΣ ΧΩΡΟΣ ΘΕΑΤΡΟ ΟΨΕΙΣ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"Ευτυχισμένες Μέρες"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"Η Πάνδημος Ηώς ΑΣΤΙΚΗ ΜΗ ΚΕΡΔΟΣΚΟΠΙΚΗ ΕΤΑΙΡΕΙΑ"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"Η Πάνδημος Ηώς")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GOOTHEATER COMPANY ΘΕΑΤΡΙΚΗ ΑΣΤΙΚΗ ΜΗ ΚΕΡΔΟΣΚΟΠΙΚΗ ΕΤΑΙΡΙΑ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GOOTHEATER</w:t>
              <w:br/>
              <w:t>COMPANY)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BABEΛ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BLIND SPOT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BLUNTED- ΔΗΜΗΤΡΕΣ ΚΑΙ ΠΕΡΣΕΦΟΝΕΣ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ΚΑΡΤ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ΚΑΡΤ)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Danton/Η Ανατομία μιας Επανάστασης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RMS MATAROA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(ΔΙΑΚΡΙΤΙΚΟΣ ΤΙΤΛΟΣ : </w:t>
              <w:br/>
              <w:t>RMS MATAROA)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LOST &amp; FOUND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ΑΛΛΗ ΠΛΕΥΡΑ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/>
              <w:t>(ΔΙΑΚΡΙΤΙΚΟΣ ΤΙΤΛΟΣ :</w:t>
              <w:br/>
              <w:t>"Altera Pars")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Mit(e)ra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TERRE DE SEMIS AMKE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SLEEP HAS HER HOUSE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VEGA LYRA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SUNWARD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Subtronica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 Effect, της Lucy Prebble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ΘΕΑΤΡΙΚΗ ΟΜΑΔΑ BLOOM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Bloom Theatre Group)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 Nether ( προσωρινός τίτλος)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«Θεατρικός Οργανισμός ΠΡΩΤΕΣ ΥΛΕΣ Αστική Μη Κερδοσκοπική Εταιρεία»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VERRUCKTES BLUT - ΑΓΡΙΟ ΑΙΜΑ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Ars Moriendi (Αρς Μοριέντι) – Αστική Εταιρία Μη Κερδοσκοπική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Ars Moriendi)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What makes the world go round? (προσωρινός τίτλος)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The Young Quill Αστική Εταιρεία Μη Κερδοσκοπικού Χαρακτήρα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The Young Quill)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ΑΜΛΕΤ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MASTERSKAYA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ΑΜΛΕΤ*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ANIMA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(ΔΙΑΚΡΙΤΙΚΟΣ ΤΙΤΛΟΣ : </w:t>
              <w:br/>
              <w:t>ANIMA)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Άνθρωποι γύρω από τη φωτιά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ΕΤΑΙΡEΙΑ ΘΕΑΤΡΟΥ XAΠΙ ΕΝΤ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ΤΙΤΛΟΣ: XAΠΙ ΕΝΤ)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ΑΥΤΟ ΠΟΥ ΕΙΝΑΙ, ΗΤΑΝ ΗΔΗ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«ΣΤΑΘΜΟΣ ΕΚΦΡΑΣΗΣ &amp; ΠΟΛΙΤΙΣΜΟΥ» ΑΜΚΕ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:ΘΕΑΤΡΟ ΣΑΛΑΜΙΝΑ 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Δάκρυ στο Φίδι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HIPPO (ΧΙΠΟ)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ΤΙΤΛΟΣ:</w:t>
              <w:br/>
              <w:t>Hippo Theatre Group)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Δεσποινίς Μαργαρίτα του Ρομπέρτο Ατάϋντε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ΤΕΧΝΗΣ ΟΝΕΙΡΑ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ΔΕΣΠΟΙΝΙΣ ΤΖΟΥΛΙΑ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ΧΩΡΟΣ-Αστική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 xml:space="preserve">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ΧΩΡΟΣ)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ΕΓΚΛΗΜΑ ΚΑΙ ΤΙΜΩΡΙΑ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ΘΕΑΤΡΙΚΗ ΑΣΤΙΚΗ ΕΤΑΙΡΙΑ ΠΡΑΞΗ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Εκμηδένιση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Elephas tiliensis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ΕΛΙΖΑ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ΑΝΟΙΧΤΗ ΠΟΡΤΑ ΑΣΤΙΚΗ ΜΗ ΚΕΡΔΟΣΚΟΠΙΚΗ ΕΤΑΙΡΙΑ ΓΙΑ ΤΗΝ ΤΕΧΝΗ ΤΟΥ ΘΕΑΤΡΟΥ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Ένα ψέμα του μυαλού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Ομάδα Νάμα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ΕΠΙΚΙΝΔΥΝΟΣ ΟΙΚΤΟΣ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ΘΕΣΙΣ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Εσύ και τα σύννεφά σου του Έρικ Βέστφαλ σε σκηνοθεσία Κώστα Φιλίππογλου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ΒίΔα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Ευρυδίκη και Ορφέας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ΕΜΕΙΣ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Ευτυχισμένες Μέρες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ΔΟΛΙΧΟΣ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ΑΠΟΛΟΓΙΑ ΜΟΥ (Προσωρινός)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ΣΥΓΧΡΟΝΗ ΣΚΗΝΗ Μ.Κ.Ε.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Αριστερόχειρη γυναίκα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ΘΕΑΤΡΙΚΟΣ ΟΡΓΑΝΙΣΜΟΣ ΟΠΕRΑ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(ΔΙΑΚΡΙΤΙΚΟΣ ΤΙΤΛΟΣ : </w:t>
              <w:br/>
              <w:t>ΟΠΕRΑ)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ΑΥΤΟΥ ΕΛΑΦΡΟΤΗΣ Ο ΠΕΡΕΛΑ του Άλντο Παλατσέσκι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ΕΤΑΙΡΙΑ ΤΕΧΝΩΝ ΠΕΙΡΑΙΑ ΕΝΤΡΟΠΙΑ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ήμερη και το εικόνισμα (Кроткая)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ΑΛΕΞΑΝΔΡΕΙΑ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κατάρρευση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Νοσταλγία - Εργαστήρι Καλλιτεχνικής Δημιουργίας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ΚΟΛΑΣΗ του ΔΑΝΤΗ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ΩΡΙΩΝ - ΑΣΤΙΚΗ ΜΗ ΚΕΡΔΟΣΚΟΠΙΚΗ ΕΤΑΙΡΙΑ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ΠΛΑΤΦΟΡΜΑ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ΕΤΑΙΡΕΙΑ ΘΕΑΤΡΟΥ ΑΝΤΙΡΡΗΣΗ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ΤΙΤΛΟΣ: αντίqρηση 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ΠΛΕΞΟΥΔΑ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ΜΕΤΑΞΟΥΡΓΕΙΟ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ΠΟΛΙΟΡΚΙΑ ΤΟΥ ΛΕΝΙΝΓΚΡΑΝΤ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ΑΫΛΑ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Συναίνεση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ΠΕΔΙΟ ΤΕΧΝΗΣ ΑΣΤΙΚΗ ΜΗ ΚΕΡΔΟΣΚΟΠΙΚΗ ΕΤΑΙΡΕΙΑ, CHAMP D' ART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Τελευταία θάλασσα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«THE GARAGE THEATRE ΑΣΤΙΚΗ ΜΗ ΚΕΡΔΟΣΚΟΠΙΚΗ ΕΤΑΙΡΕΙΑ»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ΤΕΛΙΤΣΑ ΚΑΙ ΤΟ ΣΥΜΠΑΝ - ΣΥΜΠΕΡΙΛΗΠΤΙΚΗ ΚΑΙ ΚΑΘΟΛΙΚΑ ΠΡΟΣΒΑΣΙΜΗ ΘΕΑΤΡΙΚΗ ΠΑΡΑΣΤΑΣΗ ΓΙΑ ΠΑΙΔΙΑ ΚΙ ΕΦΗΒΟΥΣ (7 - 14 ΕΤΩΝ)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Θέατρο Ατόμων με Αναπηρία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φάρμα των ζώων - The musical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Μικρός Βορράς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 χρονιά χωρίς καλοκαίρι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Εταιρεία Θεάτρου Sforaris !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(ΔΙΑΚΡΙΤΙΚΟΣ ΤΙΤΛΟΣ : </w:t>
              <w:br/>
              <w:t>Sforaris)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ΗΜΕΡΗ, Η ΑΝΑΤΟΜΙΑ ΜΙΑΣ ΠΤΩΣΗΣ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Zero Gravity two Αστική Μη Κερδοσκοπική Εταιρεία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ΘΑΝΑΤΟΣ ΠΑΛΛΗΚΑΡΙΟΥ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ΑΛΑΒΑΣΤΡΟΝ ΟΜΑΔΑ ΔΡΑΣΗΣ Α.Μ.Κ.Ε.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ΑΛΑΒΑΣΤΡΟΝ Α.Μ.Κ.Ε.)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Θεατρική παράσταση με τίτλο «Παραλλαγές μιας πάπιας»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ΘΕΑΤΡΙΚΗ ΟΜΑΔΑ ΡΕΚΤΙΣ -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Θεατρική Ομάδα Ρέκτις ΑΜΚΕ)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ΙΦΙΓΕΝΕΙΑ Η ΕΝ ΑΥΛΙΔΙ του ΕΥΡΙΠΙΔΗ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ΣΗΜΕΙΟ ΜΗΔΕΝ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ΚΑΙ ΤΑ ΑΓΑΛΜΑΤΑ ΠΕΘΑΙΝΟΥΝ ΑΝ ΔΕΝ ΤΑ ΚΟΙΤΑ ΚΑΝΕΙΣ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ΚΑΝΘΑΡΟΣ - ΘΕΑΤΡΟ ACT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Κάτι θα γίνει, θα δεις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Lάz - Las Α.Μ.Κ.Ε.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(ΠΡΩΗΝ PULSAR ΑΜΚΕ)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ΚΑΦΚΑ: O άγγελος της ιστορίας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Ιωάννα Μακρή - Ν. Διαμαντής και Σία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/>
              <w:t xml:space="preserve">(ΔΙΑΚΡΙΤΙΚΟΣ ΤΙΤΛΟΣ: </w:t>
              <w:br/>
              <w:t>ΕΤΑΙΡΙΑ ΘΕΑΤΡΟΥ ΣΗΜΕΙΟ)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Κόκκαλα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ΘΕΑΤΡΟ ΣΤΗ ΣΑΛΑ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ΛΑΜΠΕΡΑ ΠΑΡΑΣΙΤΑ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Passatempo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(ΔΙΑΚΡΙΤΙΚΟΣ ΤΙΤΛΟΣ : </w:t>
              <w:br/>
              <w:t>Passatempo)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Μ/Α/Ρ/Ξ (Προσωρινός τίτλος)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ΑΦΟΙ ΑΝΤΩΝΟΠΟΥΛΟΙ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ΑΦΟΙ ΑΝΤΩΝΟΠΟΥΛΟΙ</w:t>
              <w:br/>
              <w:t>ΑΜΚΕ)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ΜΑΚΒΕΘ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GOEN PRODUCTIONS Α.Μ.Κ.Ε.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 GOEN)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5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ΜΕ ΔΥΝΑΜΗ ΑΠΟ ΤΗΝ ΚΗΦΙΣΙΑ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ΘΕΑΤΡΙΚΗ ΟΜΑΔΑ BUG - ΑΣΤΙΚΗ ΕΤΑΙΡΕΙΑ ΜΗ ΚΕΡΔΟΣΚΟΠΙΚΟΥ ΧΑΡΑΚΤΗΡΟΣ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 xml:space="preserve">ΔΙΑΚΡΙΤΙΚΟΣ ΤΙΤΛΟΣ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 BUG)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ΜΗΔΕΙΑΣ, ΕΞΟΔΟΣ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ΟΜΑΔΑ ΧΡΩΜΑ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(διακριτικός τίτλος: ARTCOLOUR)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Μονοπάτια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Όχι Παίζουμε Αστική Μη Κερδοσκοπική Εταιρία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(διακριτικός τίτλος: ΟΧΙ ΠΑΙΖΟΥΜΕ)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Νεκρή φύση σε χαντάκι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Θεατρικός Οργανισμός Νέος Λόγος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Αυτόχειρας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"Αττική Αυλαία"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ΑΦΡΟΣ ΤΩΝ ΗΜΕΡΩΝ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BLOOM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BLOOM)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Έμπορος της Βενετίας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CONTRATIEMPO ΑΜΚΕ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ΔΙΑΚΡΙΤΙΚΟΣ ΤΙΤΛΟΣ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 CONTRATIEMPO)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θάνατος ενός ηθοποιού – Α’ έτος (προσωρινός)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Dulcinea Αστική Μη Κερδοσκοπική Εταιρία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Dulcinea ΑΜΚΕ)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ΚΑΛΟΣ ΣΤΡΑΤΙΩΤΗΣ ΣΒΕΙΚ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ΘΕΑΤΡΟ ΤΣΗ ΖΑΚΥΘΟΣ - ΕΠΑΓΓΕΛΜΑΤΙΚΗ ΣΚΗΝΗ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σκύλος που έκλαιγε βουβά τις νύχτες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ΑΣΤΙΚΗ ΜΗ ΚΕΡΔΟΣΚΟΠΙΚΗ ΕΤΑΙΡΕΙΑ ΤΕΧΝΗΣ ARS AETERNA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ΕΤΑΙΡΕΙΑ ΤΕΧΝΗΣ ARS AETERNA)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Τελευταίος Γιάνκης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ΕΩΣ - ΑΣΤΙΚΗ ΜΗ ΚΕΡΔΟΣΚΟΠΙΚΗ ΕΤΑΙΡΙΑ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 ΕΩΣ)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 ΧΡΙΣΤΟΣ ΞΑΝΑΣΤΑΥΡΩΝΕΤΑΙ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ΠΟΛΙΤΙΣΜΟΣ ΣΤΑΘΜΟΣ ΘΕΑΤΡΟ Μ.Κ.Ο.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Οι βελόνες της Νεραντζιάς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ΜΙΚΡΟΓΡΑΦΙΑ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 xml:space="preserve">(ΔΙΑΚΡΙΤΙΚΟΣ ΤΙΤΛΟΣ :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MIKROGRAPHIA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89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Οι Στρατηγικές του Έρωτα του Τζώρτζ Φάρκιουαρ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BOILING POINT ΑΣΤΙΚΗ ΜΗ ΚΕΡΔΟΣΚΟΠΙΚΗ ΕΤΑΙΡΕΙΑ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Όταν σταμάτησα να καταλαβαίνω τον κόσμο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One Plant Production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24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ΠΑΝΔΟΧΕΙΟΝ Η ΦΙΛΟΞΕΝΗ ΕΡΗΜΙΑ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ΑΣΤΙΚΗ ΜΗ ΚΕΡΔΟΣΚΟΠΙΚΗ ΕΤΑΙΡΕΙΑ ΣΥΓΧΡΟΝΩΝ ΔΗΜΙΟΥΡΓΙΚΩΝ ΠΑΡΑΣΤΑΤΙΚΩΝ ΤΕΧΝΩΝ ΜΟΥΣΙΚΩΝ ΚΑΙ ΕΙΚΑΣΤΙΚΩΝ ΕΡΓΩΝ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BIJOUX DE KANT)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Περί βίας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Nova Melancholia Αστική εταιρεία μη κερδοσκοπική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ΠΕΡΙ ΤΥΦΛΟΤΗΤΑΣ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ABNORMAL GROUP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ΠΗΝΕΛΟΠΕΣ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ΕΛΛΗΝΙΚΗ ΕΤΑΙΡΕΙΑ ΘΕΑΤΡΟΥ Α.Ε.Π.Ε.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ΘΕΑΤΡΟ ΤΕΧΝΗΣ ΚΑΡΟΛΟΥ ΚΟΥΝ)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ΠΟΡΦΥΡΟ ΠΟΤΑΜΙ - ΤΟ ΔΕΝΤΡΟ ΤΩΝ ΤΡΟΠΙΚΩΝ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ΕΤΑΙΡΕΙΑ ΔΗΜΙΟΥΡΓΙΚΟΤΗΤΑΣ ΚΑΙ ΠΟΛΙΤΙΣΜΟΥ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HELIX ACTION THEATRE)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ΣΙΡΟΚΟΣ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 FRONTAL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726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ΣΤΑ ΧΕΡΙΑ ΤΗΣ - Μια τρελή τρελή τραγωδία, του ΒΑΣΙΛΗ ΚΑΤΣΙΚΟΝΟΥΡΗ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ΣΑΛΤΙΜΠΑΓΚΟΙ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ΣΤΑΧΤΑΡΙΤΣΑ PROJECT / Ή το γοβάκι δεν ήταν γυάλινο, ή εκείνη δεν έτρεξε τόσο γρήγορα όσο νομίζουμε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Διεθνές Κέντρο Χορού και Θεάτρου Μήλου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Στο Θέατρο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ΝΕΡΑ ΕΙΔΑ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Συναίνεση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Νέο Σύγχρονο Θέατρο Αστική Μη Κερδοσκοπική Εταιρία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 :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Νέο Σύγχρονο Θέατρο ΑΜΚΕ)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Τα σπίτια αλλάζουν θέση τη νύχτα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ΕΤΑΙΡΕΙΑ ΘΕΑΤΡΟΥ ΤΡΟΧΙΕΣ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 ΤΡΟΧΙΕΣ)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ΤΑ ΧΡΟΝΙΑ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ΠΥΡ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ΤΖΩΝ ΓΑΒΡΙΗΛ ΜΠΟΡΚΜΑΝ ΤΟΥ ΕΡΡΙΚΟΥ ΙΨΕΝ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Αλκμήνη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βιβλίο της ανησυχίας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4PLAY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 xml:space="preserve">(ΔΙΑΚΡΙΤΙΚΟΣ ΤΙΤΛΟΣ :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4PLAY)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Δάσος του Αισώπου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ΕΝ ΑΘΗΝΑΙΣ - ΕΠΙΚΕΝΤΡΟ ΠΟΛΙΤΙΣΜΟΥ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96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ΚΟΜΠΛΕΞΙΚΟ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ΝΟΗΤΗ ΓΡΑΜΜΗ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97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Κουρέλι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GANBA K.L.L. ΑΣΤΙΚΗ ΜΗ ΚΕΡΔΟΣΚΟΠΙΚΗ ΕΤΑΙΡΕΙΑ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 xml:space="preserve">(ΔΙΑΚΡΙΤΙΚΟΣ ΤΙΤΛΟΣ :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GANBA)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98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μίσος 1995/2026 (προσωρινός τίτλος)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SPECTRUM Αστική μη κερδοσκοπική εταιρεία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 xml:space="preserve">ΔΙΑΚΡΙΤΙΚΟΣ ΤΙΤΛΟΣ :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SPECTRUM AMKE)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99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Νησί Των Σκλάβων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ΜΠΛΕ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100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Πόδι της Χήνας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NOVUS Αστική μη Κερδοσκοπική Εταιρεία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/>
              </w:rPr>
              <w:t>101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ΣΗΜΕΙΩΜΑΤΑΡΙΟ του ΖΑΝ ΓΚΛΟΝΤ ΚΑΡΙΕΡ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ΘΕΑΤΡΙΚΗ ΣΚΗΝΗ ΑΣΤΙΚΗ ΜΗ ΚΕΡΔΟΣΚΟΠΙΚΗ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Το Τέλος της Κωμωδίας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Θέρος - Εταιρία Θεάτρου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(ΔΙΑΚΡΙΤΙΚΟΣ ΤΙΤΛΟΣ: </w:t>
              <w:br/>
              <w:t>Θέρος)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Χλιμίντρισμα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ΕΤΑΙΡΕΙΑ ΘΕΑΤΡΟΥ "PER-THEATER-FORMANCE"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  <w:lang w:val="el-G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Χορεύοντας στη Λούνασα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ΘΕΑΤΡΙΚΟΣ ΟΡΓΑΝΙΣΜΟΣ ΜΗ ΚΕΡΔΟΣΚΟΠΙΚΟΣ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  ΚΑΤΩ ΑΠ' ΤΗ ΓΕΦΥΡΑ)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159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ΕΣ ΠΑΡΑΓΩΓΕΣ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ΕΤΟΥΣ 2025 / ΣΥΝΟΛΙΚΟ ΠΟΣΟ ΕΠΙΧΟΡΗΓΗΣΗΣ : € 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1.805</w:t>
            </w: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.000,00</w:t>
            </w:r>
          </w:p>
        </w:tc>
      </w:tr>
    </w:tbl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tbl>
      <w:tblPr>
        <w:tblStyle w:val="3"/>
        <w:tblW w:w="11612" w:type="dxa"/>
        <w:jc w:val="left"/>
        <w:tblInd w:w="-14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4085"/>
        <w:gridCol w:w="3069"/>
        <w:gridCol w:w="1936"/>
        <w:gridCol w:w="1193"/>
      </w:tblGrid>
      <w:tr>
        <w:trPr>
          <w:trHeight w:val="1020" w:hRule="atLeast"/>
        </w:trPr>
        <w:tc>
          <w:tcPr>
            <w:tcW w:w="1161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ΑΙΤΗΜΑΤΑ ΕΠΙΧΟΡΗΓΗΣΗΣ Ή/ΚΑΙ ΠΑΡΟΧΗΣ ΑΙΓΙΔΑΣ ΘΕΑΤΡΙΚΩΝ ΕΚΔΗΛΩΣΕΩΝ  ΕΤΟΥΣ 2025,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ΘΕΑΤΡΙΚΩΝ ΠΑΡΑΓΩΓΩΝ 2025 - 2026,  ΘΕΑΤΡΙΚΩΝ ΦΕΣΤΙΒΑΛ ΕΤΟΥΣ 2025</w:t>
              <w:br/>
              <w:t>ΚΑΙ ΘΕΑΤΡΙΚΩΝ ΠΕΡΙΟΔΕΙΩΝ ΕΤΟΥΣ 2025</w:t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Γ. ΘΕΑΤΡΙΚΑ ΦΕΣΤΙΒΑΛ ΕΤΟΥΣ 2025</w:t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80" w:hRule="atLeast"/>
        </w:trPr>
        <w:tc>
          <w:tcPr>
            <w:tcW w:w="11612" w:type="dxa"/>
            <w:gridSpan w:val="5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3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A/A</w:t>
            </w:r>
          </w:p>
        </w:tc>
        <w:tc>
          <w:tcPr>
            <w:tcW w:w="4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ΤΙΤΛΟΣ</w:t>
              <w:br/>
              <w:t>ΠΡΟΤΑΣΗΣ</w:t>
            </w:r>
          </w:p>
        </w:tc>
        <w:tc>
          <w:tcPr>
            <w:tcW w:w="3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ΕΠΩΝΥΜΙΑ</w:t>
              <w:br/>
              <w:t>ΦΟΡΕΑ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ΠΟΣΟ</w:t>
              <w:br/>
              <w:t>ΕΠΙΧΟΡΗΓΗΣΗΣ</w:t>
            </w:r>
          </w:p>
        </w:tc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ΑΙΓΙΔΑ</w:t>
            </w:r>
          </w:p>
        </w:tc>
      </w:tr>
      <w:tr>
        <w:trPr>
          <w:trHeight w:val="300" w:hRule="atLeast"/>
        </w:trPr>
        <w:tc>
          <w:tcPr>
            <w:tcW w:w="13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40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30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19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  <w:tc>
          <w:tcPr>
            <w:tcW w:w="119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8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23ο Διεθνές Φεστιβάλ Κουκλοθέατρου και Παντομίμας του Κιλκίς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Unión Hispano-Helena de Lengua y Cultura (Ισπανο-ελληνική Ένωση Γλώσσας και Πολιτισμού)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ΜΕΡΚΟΥΡΕΙΑ 2025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ΚΟΙΝΩΦΕΛΗΣ ΕΠΙΧΕΙΡΗΣΗ ΥΠΗΡΕΣΙΩΝ ΝΕΑΠΟΛΗΣ-ΣΥΚΕΩΝ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l-GR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l-GR" w:eastAsia="zh-CN" w:bidi="ar"/>
              </w:rPr>
              <w:t>(ΔΙΑΚΡΙΤΙΚΟΣ ΤΙΤΛΟΣ : ΚΕΥΝΣ)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6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Φεστιβάλ Νέων Δημιουργών &amp; Ομάδων : Άδειος Χώρος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ΠΛΕΓΜΑ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ΘΕΑΤΡΙΚΑ ΦΕΣΤΙΒΑΛ ΕΤΟΥΣ 2025 / ΣΥΝΟΛΙΚΟ ΠΟΣΟ ΕΠΙΧΟΡΗΓΗΣΗΣ : € 75.000,00</w:t>
            </w:r>
          </w:p>
        </w:tc>
      </w:tr>
    </w:tbl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</w:rPr>
      </w:pPr>
      <w:r>
        <w:rPr>
          <w:rFonts w:cs="Calibri"/>
          <w:color w:val="auto"/>
          <w:sz w:val="24"/>
          <w:szCs w:val="24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  <w:lang w:val="el-GR"/>
        </w:rPr>
      </w:pPr>
      <w:r>
        <w:rPr>
          <w:rFonts w:cs="Calibri"/>
          <w:color w:val="auto"/>
          <w:sz w:val="24"/>
          <w:szCs w:val="24"/>
          <w:lang w:val="el-GR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  <w:lang w:val="el-GR"/>
        </w:rPr>
      </w:pPr>
      <w:r>
        <w:rPr>
          <w:rFonts w:cs="Calibri"/>
          <w:color w:val="auto"/>
          <w:sz w:val="24"/>
          <w:szCs w:val="24"/>
          <w:lang w:val="el-GR"/>
        </w:rPr>
      </w:r>
    </w:p>
    <w:p>
      <w:pPr>
        <w:pStyle w:val="Normal"/>
        <w:rPr>
          <w:rFonts w:ascii="Calibri" w:hAnsi="Calibri" w:cs="Calibri"/>
          <w:color w:val="auto"/>
          <w:sz w:val="24"/>
          <w:szCs w:val="24"/>
          <w:highlight w:val="none"/>
          <w:lang w:val="el-GR"/>
        </w:rPr>
      </w:pPr>
      <w:r>
        <w:rPr>
          <w:rFonts w:cs="Calibri"/>
          <w:color w:val="auto"/>
          <w:sz w:val="24"/>
          <w:szCs w:val="24"/>
          <w:lang w:val="el-GR"/>
        </w:rPr>
      </w:r>
    </w:p>
    <w:tbl>
      <w:tblPr>
        <w:tblStyle w:val="3"/>
        <w:tblW w:w="11612" w:type="dxa"/>
        <w:jc w:val="left"/>
        <w:tblInd w:w="-14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4085"/>
        <w:gridCol w:w="3069"/>
        <w:gridCol w:w="1936"/>
        <w:gridCol w:w="1193"/>
      </w:tblGrid>
      <w:tr>
        <w:trPr>
          <w:trHeight w:val="960" w:hRule="atLeast"/>
        </w:trPr>
        <w:tc>
          <w:tcPr>
            <w:tcW w:w="1161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ΑΙΤΗΜΑΤΑ ΕΠΙΧΟΡΗΓΗΣΗΣ Ή/ΚΑΙ ΠΑΡΟΧΗΣ ΑΙΓΙΔΑΣ ΘΕΑΤΡΙΚΩΝ ΕΚΔΗΛΩΣΕΩΝ  ΕΤΟΥΣ 2025,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ΘΕΑΤΡΙΚΩΝ ΠΑΡΑΓΩΓΩΝ 2025 - 2026,  ΘΕΑΤΡΙΚΩΝ ΦΕΣΤΙΒΑΛ ΕΤΟΥΣ 2025</w:t>
              <w:br/>
              <w:t>ΚΑΙ ΘΕΑΤΡΙΚΩΝ ΠΕΡΙΟΔΕΙΩΝ ΕΤΟΥΣ 2025</w:t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Δ. ΘΕΑΤΡΙΚΕΣ ΠΕΡΙΟΔΕΙΕΣ ΕΤΟΥΣ 2025</w:t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12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«Περιοδεία με τη ‘‘Λέλα Καραγιάννη - Η Μάνα της Αντίστασης’’ από τη Λήμνο έως την Αρεόπολη»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ΔΙΑ-ΧΡΟΝΟ ΘΕΑΤΡΟ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</w:t>
              <w:br/>
              <w:t>ΔΙΑ-ΧΡΟΝΟ ΘΕΑΤΡΟ Μ. ΒΙΔΑΛΗ)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9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Amalia melancholia, η βασίλισσα των φοινίκων / Περιοδεία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QUADRAT Αστική Μη Κερδοσκοπική εταιρεία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White Dwarf -Θεατρική Περιοδεία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ΠΟΛΥΠΛΑΝΗΤΗ Αστική Μη Κερδοσκοπική Εταιρεία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Οι Κάλπηδες - Περιοδεία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Ξανθίας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9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Περιοδεια με την παράσταση του έργου ''το 3%'' της Βίλης Σωτηροπούλου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ΘΕΑΤΡΙΚΗ ΟΜΑΔΑ ΜΠΟΥΦΟΝΟΙ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1200" w:hRule="atLeast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Ταξιδεύοντας με το Μα, περιοδεία της θεατρικής παράστασης και διοργάνωση παράλληλων εκδηλώσεων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ΑΛΚΗ</w:t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eastAsia="SimSun" w:cs="Calibri"/>
                <w:b/>
                <w:b/>
                <w:bCs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(ΔΙΑΚΡΙΤΙΚΟΣ ΤΙΤΛΟΣ : ΑΛΚΗ)</w:t>
              <w:br/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10.000,00 €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ΝΑΙ</w:t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cs="Calibri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11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SimSun" w:cs="Calibr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ΘΕΑΤΡΙΚΕΣ ΠΕΡΙΟΔΕΙΕΣ ΕΤΟΥΣ 2025/ ΣΥΝΟΛΙΚΟ ΠΟΣΟ ΕΠΙΧΟΡΗΓΗΣΗΣ : € 85.000,00</w:t>
            </w:r>
          </w:p>
        </w:tc>
      </w:tr>
    </w:tbl>
    <w:p>
      <w:pPr>
        <w:pStyle w:val="Normal"/>
        <w:jc w:val="center"/>
        <w:rPr>
          <w:color w:val="auto"/>
          <w:highlight w:val="none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l-G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LibreOffice/7.2.0.4$Windows_X86_64 LibreOffice_project/9a9c6381e3f7a62afc1329bd359cc48accb6435b</Application>
  <AppVersion>15.0000</AppVersion>
  <Pages>9</Pages>
  <Words>1857</Words>
  <Characters>10450</Characters>
  <CharactersWithSpaces>11746</CharactersWithSpaces>
  <Paragraphs>595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2025-08-06T10:04:00Z</dcterms:created>
  <dc:creator>chvenizelou</dc:creator>
  <dc:description/>
  <dc:language>el-GR</dc:language>
  <cp:lastModifiedBy>izontanou</cp:lastModifiedBy>
  <dcterms:modified xsi:type="dcterms:W3CDTF">2025-08-11T07:59:39Z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A33589BD09524890AAE9D6D61CF193C5_11</vt:lpwstr>
  </property>
  <property fmtid="{D5CDD505-2E9C-101B-9397-08002B2CF9AE}" pid="3" name="KSOProductBuildVer">
    <vt:lpwstr>1033-12.2.0.21931</vt:lpwstr>
  </property>
</Properties>
</file>